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7FBB1578" w:rsidR="00B91685" w:rsidRDefault="008D67D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</w:t>
      </w:r>
      <w:r w:rsidR="00B8174C">
        <w:rPr>
          <w:rFonts w:cs="Arial"/>
          <w:b/>
          <w:sz w:val="28"/>
          <w:szCs w:val="28"/>
        </w:rPr>
        <w:t xml:space="preserve">VIE: </w:t>
      </w:r>
      <w:r w:rsidR="00E31ABA">
        <w:rPr>
          <w:rFonts w:cs="Arial"/>
          <w:b/>
          <w:sz w:val="28"/>
          <w:szCs w:val="28"/>
        </w:rPr>
        <w:t>The LEGO Movie 2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2041C75C" w:rsidR="00C8250E" w:rsidRPr="00F53E5F" w:rsidRDefault="00E31ABA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The LEGO Movie 2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15FAB84D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E31ABA">
              <w:rPr>
                <w:rFonts w:eastAsiaTheme="minorEastAsia" w:cs="Arial"/>
                <w:sz w:val="18"/>
                <w:szCs w:val="18"/>
                <w:lang w:eastAsia="zh-CN"/>
              </w:rPr>
              <w:t>14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2E52AF42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31ABA">
              <w:rPr>
                <w:rFonts w:eastAsiaTheme="minorEastAsia" w:cs="Arial"/>
                <w:sz w:val="18"/>
                <w:szCs w:val="18"/>
                <w:lang w:eastAsia="zh-CN"/>
              </w:rPr>
              <w:t>14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cs="Arial"/>
                <w:sz w:val="18"/>
                <w:szCs w:val="18"/>
              </w:rPr>
              <w:t>January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CA0DB0">
              <w:rPr>
                <w:rFonts w:cs="Arial"/>
                <w:sz w:val="18"/>
                <w:szCs w:val="18"/>
              </w:rPr>
              <w:t>9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55C97087" w:rsidR="001857D5" w:rsidRPr="00EA5287" w:rsidRDefault="00E31ABA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14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–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EB01D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2CB65D18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 w:rsidR="00E31ABA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CA0DB0">
              <w:rPr>
                <w:rFonts w:cs="Arial"/>
                <w:sz w:val="18"/>
                <w:szCs w:val="18"/>
              </w:rPr>
              <w:t>9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66D6" w14:textId="77777777" w:rsidR="00B91685" w:rsidRDefault="00EA7F43" w:rsidP="00EA7F43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 x The LEGO Movie Premiere Passes</w:t>
            </w:r>
          </w:p>
          <w:p w14:paraId="70A846F5" w14:textId="283EE9A0" w:rsidR="00EA7F43" w:rsidRPr="00CC0C6A" w:rsidRDefault="00EA7F43" w:rsidP="00EA7F43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8092" w14:textId="77777777" w:rsidR="00C80F69" w:rsidRDefault="00C80F69">
      <w:r>
        <w:separator/>
      </w:r>
    </w:p>
  </w:endnote>
  <w:endnote w:type="continuationSeparator" w:id="0">
    <w:p w14:paraId="3D382D93" w14:textId="77777777" w:rsidR="00C80F69" w:rsidRDefault="00C8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C80F69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DB59" w14:textId="77777777" w:rsidR="00C80F69" w:rsidRDefault="00C80F69">
      <w:r>
        <w:separator/>
      </w:r>
    </w:p>
  </w:footnote>
  <w:footnote w:type="continuationSeparator" w:id="0">
    <w:p w14:paraId="7A492C45" w14:textId="77777777" w:rsidR="00C80F69" w:rsidRDefault="00C8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2E2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90615"/>
    <w:rsid w:val="000A3951"/>
    <w:rsid w:val="000B3153"/>
    <w:rsid w:val="000B528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3774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1C61"/>
    <w:rsid w:val="002A5FBD"/>
    <w:rsid w:val="002B1897"/>
    <w:rsid w:val="002C1E79"/>
    <w:rsid w:val="002C1EBC"/>
    <w:rsid w:val="002C2A77"/>
    <w:rsid w:val="002C3A72"/>
    <w:rsid w:val="002C3E41"/>
    <w:rsid w:val="002D795D"/>
    <w:rsid w:val="002E26D8"/>
    <w:rsid w:val="002E6166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3CC4"/>
    <w:rsid w:val="003D5308"/>
    <w:rsid w:val="003E1D36"/>
    <w:rsid w:val="003E726F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001A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3C79"/>
    <w:rsid w:val="005465EC"/>
    <w:rsid w:val="005468A0"/>
    <w:rsid w:val="0054799F"/>
    <w:rsid w:val="00547CC3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167E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03280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D292C"/>
    <w:rsid w:val="007E3141"/>
    <w:rsid w:val="007F30B4"/>
    <w:rsid w:val="007F6CC5"/>
    <w:rsid w:val="007F7722"/>
    <w:rsid w:val="00805A2D"/>
    <w:rsid w:val="0081298C"/>
    <w:rsid w:val="008170E8"/>
    <w:rsid w:val="0082241D"/>
    <w:rsid w:val="008247A8"/>
    <w:rsid w:val="008309DF"/>
    <w:rsid w:val="00833963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D67D3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0F6D"/>
    <w:rsid w:val="00962E92"/>
    <w:rsid w:val="00964D48"/>
    <w:rsid w:val="00970BF0"/>
    <w:rsid w:val="0098053D"/>
    <w:rsid w:val="0098374F"/>
    <w:rsid w:val="00990F5D"/>
    <w:rsid w:val="00995598"/>
    <w:rsid w:val="00995827"/>
    <w:rsid w:val="00997B46"/>
    <w:rsid w:val="009A6709"/>
    <w:rsid w:val="009B12DE"/>
    <w:rsid w:val="009B6799"/>
    <w:rsid w:val="009C0034"/>
    <w:rsid w:val="009C0DAC"/>
    <w:rsid w:val="009C0E8E"/>
    <w:rsid w:val="009C31CB"/>
    <w:rsid w:val="009C7A23"/>
    <w:rsid w:val="009D5EA1"/>
    <w:rsid w:val="009D7FE8"/>
    <w:rsid w:val="009E1E84"/>
    <w:rsid w:val="009F4EC2"/>
    <w:rsid w:val="00A02877"/>
    <w:rsid w:val="00A05EE3"/>
    <w:rsid w:val="00A210E9"/>
    <w:rsid w:val="00A265D8"/>
    <w:rsid w:val="00A26A0F"/>
    <w:rsid w:val="00A343F3"/>
    <w:rsid w:val="00A34BF0"/>
    <w:rsid w:val="00A37F5D"/>
    <w:rsid w:val="00A44468"/>
    <w:rsid w:val="00A54511"/>
    <w:rsid w:val="00A54CEC"/>
    <w:rsid w:val="00A558AB"/>
    <w:rsid w:val="00A64A29"/>
    <w:rsid w:val="00A732B9"/>
    <w:rsid w:val="00A772BC"/>
    <w:rsid w:val="00A8779F"/>
    <w:rsid w:val="00A91517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34CD5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174C"/>
    <w:rsid w:val="00B8673D"/>
    <w:rsid w:val="00B91685"/>
    <w:rsid w:val="00BB0AD2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0F69"/>
    <w:rsid w:val="00C8250E"/>
    <w:rsid w:val="00C8663A"/>
    <w:rsid w:val="00C8695B"/>
    <w:rsid w:val="00C94EA8"/>
    <w:rsid w:val="00C95D4C"/>
    <w:rsid w:val="00C97524"/>
    <w:rsid w:val="00CA0DB0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3EB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1ABA"/>
    <w:rsid w:val="00E36101"/>
    <w:rsid w:val="00E41764"/>
    <w:rsid w:val="00E43887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A7F43"/>
    <w:rsid w:val="00EB0084"/>
    <w:rsid w:val="00EB01D7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15A4B"/>
    <w:rsid w:val="00F2448F"/>
    <w:rsid w:val="00F24C46"/>
    <w:rsid w:val="00F26B70"/>
    <w:rsid w:val="00F35806"/>
    <w:rsid w:val="00F42F57"/>
    <w:rsid w:val="00F53A23"/>
    <w:rsid w:val="00F53BBC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2019-01-08T02:05:00Z</dcterms:created>
  <dcterms:modified xsi:type="dcterms:W3CDTF">2019-01-08T02:35:00Z</dcterms:modified>
</cp:coreProperties>
</file>